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7B" w:rsidRPr="00E952BD" w:rsidRDefault="00E952BD" w:rsidP="00ED7FED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E952BD">
        <w:rPr>
          <w:rFonts w:ascii="方正小标宋简体" w:eastAsia="方正小标宋简体" w:hint="eastAsia"/>
          <w:b/>
          <w:sz w:val="36"/>
          <w:szCs w:val="36"/>
        </w:rPr>
        <w:t>泉州装备中心</w:t>
      </w:r>
      <w:r w:rsidR="0094030A" w:rsidRPr="00E952BD">
        <w:rPr>
          <w:rFonts w:ascii="方正小标宋简体" w:eastAsia="方正小标宋简体" w:hint="eastAsia"/>
          <w:b/>
          <w:sz w:val="36"/>
          <w:szCs w:val="36"/>
        </w:rPr>
        <w:t>关于控制科学与工程博士生授课方案</w:t>
      </w:r>
      <w:r w:rsidR="00BE5749">
        <w:rPr>
          <w:rFonts w:ascii="方正小标宋简体" w:eastAsia="方正小标宋简体" w:hint="eastAsia"/>
          <w:b/>
          <w:sz w:val="36"/>
          <w:szCs w:val="36"/>
        </w:rPr>
        <w:t>（修订）</w:t>
      </w:r>
    </w:p>
    <w:p w:rsidR="00A937FA" w:rsidRDefault="00A937FA" w:rsidP="00ED7FE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4030A" w:rsidRPr="00E952BD" w:rsidRDefault="0094030A" w:rsidP="00E952B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根据《中国科学院大学学位授予工作细则》等指导文件相关要求设置</w:t>
      </w:r>
      <w:r w:rsidR="00E952BD">
        <w:rPr>
          <w:rFonts w:ascii="仿宋_GB2312" w:eastAsia="仿宋_GB2312" w:hint="eastAsia"/>
          <w:sz w:val="30"/>
          <w:szCs w:val="30"/>
        </w:rPr>
        <w:t>装备中心</w:t>
      </w:r>
      <w:r w:rsidRPr="00E952BD">
        <w:rPr>
          <w:rFonts w:ascii="仿宋_GB2312" w:eastAsia="仿宋_GB2312" w:hint="eastAsia"/>
          <w:sz w:val="30"/>
          <w:szCs w:val="30"/>
        </w:rPr>
        <w:t>关于控制科学与工程博士生课程设置如下：</w:t>
      </w:r>
    </w:p>
    <w:p w:rsidR="009E5313" w:rsidRPr="00E952BD" w:rsidRDefault="0094030A" w:rsidP="00E952BD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Arial Unicode MS" w:eastAsia="Arial Unicode MS" w:cs="Arial Unicode MS"/>
          <w:color w:val="333333"/>
          <w:kern w:val="0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公开招考博士研究生在申请博士学位前，</w:t>
      </w:r>
      <w:r w:rsidR="008308DF" w:rsidRPr="00E952BD">
        <w:rPr>
          <w:rFonts w:ascii="仿宋_GB2312" w:eastAsia="仿宋_GB2312" w:hint="eastAsia"/>
          <w:sz w:val="30"/>
          <w:szCs w:val="30"/>
        </w:rPr>
        <w:t>一是</w:t>
      </w:r>
      <w:r w:rsidRPr="00E952BD">
        <w:rPr>
          <w:rFonts w:ascii="仿宋_GB2312" w:eastAsia="仿宋_GB2312" w:hint="eastAsia"/>
          <w:sz w:val="30"/>
          <w:szCs w:val="30"/>
        </w:rPr>
        <w:t>课程学习总学分不低于</w:t>
      </w:r>
      <w:r w:rsidR="00512118" w:rsidRPr="00512118">
        <w:rPr>
          <w:rFonts w:ascii="仿宋_GB2312" w:eastAsia="仿宋_GB2312" w:hint="eastAsia"/>
          <w:color w:val="FF0000"/>
          <w:sz w:val="30"/>
          <w:szCs w:val="30"/>
        </w:rPr>
        <w:t>9</w:t>
      </w:r>
      <w:r w:rsidRPr="00E952BD">
        <w:rPr>
          <w:rFonts w:ascii="仿宋_GB2312" w:eastAsia="仿宋_GB2312" w:hint="eastAsia"/>
          <w:sz w:val="30"/>
          <w:szCs w:val="30"/>
        </w:rPr>
        <w:t>学分，其中包括政治理论课程、学术道德与学术写作规范课程和外国语类课程三门公共学位课5学分，专业学位课不低于</w:t>
      </w:r>
      <w:r w:rsidR="00D2178A" w:rsidRPr="00E952BD">
        <w:rPr>
          <w:rFonts w:ascii="仿宋_GB2312" w:eastAsia="仿宋_GB2312" w:hint="eastAsia"/>
          <w:sz w:val="30"/>
          <w:szCs w:val="30"/>
        </w:rPr>
        <w:t>5</w:t>
      </w:r>
      <w:r w:rsidRPr="00E952BD">
        <w:rPr>
          <w:rFonts w:ascii="仿宋_GB2312" w:eastAsia="仿宋_GB2312" w:hint="eastAsia"/>
          <w:sz w:val="30"/>
          <w:szCs w:val="30"/>
        </w:rPr>
        <w:t>学分</w:t>
      </w:r>
      <w:r w:rsidR="008308DF" w:rsidRPr="00E952BD">
        <w:rPr>
          <w:rFonts w:ascii="仿宋_GB2312" w:eastAsia="仿宋_GB2312" w:hint="eastAsia"/>
          <w:sz w:val="30"/>
          <w:szCs w:val="30"/>
        </w:rPr>
        <w:t>；二是必修环节包括开题报告、中期考核、学术报告和社会实践等，必修环节的总学分不低于</w:t>
      </w:r>
      <w:r w:rsidR="00BE5749">
        <w:rPr>
          <w:rFonts w:ascii="仿宋_GB2312" w:eastAsia="仿宋_GB2312" w:hint="eastAsia"/>
          <w:color w:val="FF0000"/>
          <w:sz w:val="30"/>
          <w:szCs w:val="30"/>
        </w:rPr>
        <w:t>4</w:t>
      </w:r>
      <w:r w:rsidR="008308DF" w:rsidRPr="00E952BD">
        <w:rPr>
          <w:rFonts w:ascii="仿宋_GB2312" w:eastAsia="仿宋_GB2312" w:hint="eastAsia"/>
          <w:sz w:val="30"/>
          <w:szCs w:val="30"/>
        </w:rPr>
        <w:t>学分。</w:t>
      </w:r>
      <w:r w:rsidRPr="00E952BD">
        <w:rPr>
          <w:rFonts w:ascii="仿宋_GB2312" w:eastAsia="仿宋_GB2312" w:hint="eastAsia"/>
          <w:sz w:val="30"/>
          <w:szCs w:val="30"/>
        </w:rPr>
        <w:t>（</w:t>
      </w:r>
      <w:r w:rsidRPr="00BE5749">
        <w:rPr>
          <w:rFonts w:ascii="仿宋_GB2312" w:eastAsia="仿宋_GB2312" w:hint="eastAsia"/>
          <w:color w:val="FF0000"/>
          <w:sz w:val="30"/>
          <w:szCs w:val="30"/>
        </w:rPr>
        <w:t>注：课程体系与学分要求</w:t>
      </w:r>
      <w:r w:rsidR="00BE5749" w:rsidRPr="00BE5749">
        <w:rPr>
          <w:rFonts w:ascii="仿宋_GB2312" w:eastAsia="仿宋_GB2312" w:hint="eastAsia"/>
          <w:color w:val="FF0000"/>
          <w:sz w:val="30"/>
          <w:szCs w:val="30"/>
        </w:rPr>
        <w:t>已根据物构所2023年《学术学位博士研究生培养方案》进行修订，自2022级博士起执行</w:t>
      </w:r>
      <w:r w:rsidRPr="00E952BD">
        <w:rPr>
          <w:rFonts w:ascii="仿宋_GB2312" w:eastAsia="仿宋_GB2312" w:hint="eastAsia"/>
          <w:sz w:val="30"/>
          <w:szCs w:val="30"/>
        </w:rPr>
        <w:t>）</w:t>
      </w:r>
    </w:p>
    <w:p w:rsidR="0094030A" w:rsidRPr="00D2178A" w:rsidRDefault="0094030A" w:rsidP="0094030A">
      <w:pPr>
        <w:autoSpaceDE w:val="0"/>
        <w:autoSpaceDN w:val="0"/>
        <w:adjustRightInd w:val="0"/>
        <w:jc w:val="center"/>
        <w:rPr>
          <w:rFonts w:ascii="Arial Unicode MS" w:cs="Arial Unicode MS"/>
          <w:b/>
          <w:color w:val="333333"/>
          <w:kern w:val="0"/>
          <w:sz w:val="32"/>
          <w:szCs w:val="32"/>
        </w:rPr>
      </w:pPr>
      <w:r w:rsidRPr="0094030A">
        <w:rPr>
          <w:rFonts w:ascii="Arial Unicode MS" w:eastAsia="Arial Unicode MS" w:cs="Arial Unicode MS" w:hint="eastAsia"/>
          <w:b/>
          <w:color w:val="333333"/>
          <w:kern w:val="0"/>
          <w:sz w:val="32"/>
          <w:szCs w:val="32"/>
        </w:rPr>
        <w:t>公考招考博士生课程设置</w:t>
      </w:r>
    </w:p>
    <w:tbl>
      <w:tblPr>
        <w:tblStyle w:val="a5"/>
        <w:tblW w:w="10773" w:type="dxa"/>
        <w:jc w:val="center"/>
        <w:tblLayout w:type="fixed"/>
        <w:tblLook w:val="04A0"/>
      </w:tblPr>
      <w:tblGrid>
        <w:gridCol w:w="1133"/>
        <w:gridCol w:w="2835"/>
        <w:gridCol w:w="851"/>
        <w:gridCol w:w="851"/>
        <w:gridCol w:w="1134"/>
        <w:gridCol w:w="1134"/>
        <w:gridCol w:w="2835"/>
      </w:tblGrid>
      <w:tr w:rsidR="000D4847" w:rsidTr="008308DF">
        <w:trPr>
          <w:trHeight w:val="624"/>
          <w:jc w:val="center"/>
        </w:trPr>
        <w:tc>
          <w:tcPr>
            <w:tcW w:w="1133" w:type="dxa"/>
            <w:vAlign w:val="center"/>
          </w:tcPr>
          <w:p w:rsidR="000D4847" w:rsidRPr="000D4847" w:rsidRDefault="000D4847" w:rsidP="000D48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0D4847">
              <w:rPr>
                <w:rFonts w:ascii="仿宋_GB2312" w:eastAsia="仿宋_GB2312"/>
                <w:szCs w:val="21"/>
              </w:rPr>
              <w:t>课程类别</w:t>
            </w: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0D4847">
              <w:rPr>
                <w:rFonts w:ascii="仿宋_GB2312" w:eastAsia="仿宋_GB2312"/>
                <w:szCs w:val="21"/>
              </w:rPr>
              <w:t>课程名称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0D4847">
              <w:rPr>
                <w:rFonts w:ascii="仿宋_GB2312" w:eastAsia="仿宋_GB2312"/>
                <w:szCs w:val="21"/>
              </w:rPr>
              <w:t>学分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0D4847">
              <w:rPr>
                <w:rFonts w:ascii="仿宋_GB2312" w:eastAsia="仿宋_GB2312"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0D4847" w:rsidRPr="000D4847" w:rsidRDefault="000D4847" w:rsidP="000D48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0D4847">
              <w:rPr>
                <w:rFonts w:ascii="仿宋_GB2312" w:eastAsia="仿宋_GB2312"/>
                <w:szCs w:val="21"/>
              </w:rPr>
              <w:t>授课教师</w:t>
            </w:r>
          </w:p>
        </w:tc>
        <w:tc>
          <w:tcPr>
            <w:tcW w:w="1134" w:type="dxa"/>
            <w:vAlign w:val="center"/>
          </w:tcPr>
          <w:p w:rsidR="000D4847" w:rsidRPr="000D4847" w:rsidRDefault="000D4847" w:rsidP="000D48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授课地点</w:t>
            </w: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0D4847">
              <w:rPr>
                <w:rFonts w:ascii="仿宋_GB2312" w:eastAsia="仿宋_GB2312"/>
                <w:szCs w:val="21"/>
              </w:rPr>
              <w:t>授课教材</w:t>
            </w:r>
          </w:p>
        </w:tc>
      </w:tr>
      <w:tr w:rsidR="000D4847" w:rsidTr="00B76E58">
        <w:trPr>
          <w:trHeight w:val="624"/>
          <w:jc w:val="center"/>
        </w:trPr>
        <w:tc>
          <w:tcPr>
            <w:tcW w:w="1133" w:type="dxa"/>
            <w:vMerge w:val="restart"/>
            <w:vAlign w:val="center"/>
          </w:tcPr>
          <w:p w:rsid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公共</w:t>
            </w:r>
          </w:p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学位课</w:t>
            </w: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博士学位英语</w:t>
            </w:r>
            <w:r>
              <w:rPr>
                <w:rFonts w:ascii="仿宋_GB2312" w:eastAsia="仿宋_GB2312" w:hint="eastAsia"/>
                <w:szCs w:val="21"/>
              </w:rPr>
              <w:t>（英语B）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4847" w:rsidRPr="000D4847" w:rsidRDefault="00512118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物构所</w:t>
            </w: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4847" w:rsidTr="00B76E58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中国马克思主义与当代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4847" w:rsidRPr="000D4847" w:rsidRDefault="00DE452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物构所</w:t>
            </w: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4847" w:rsidTr="00B76E58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学术道德与学术写作规范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4847" w:rsidRPr="000D4847" w:rsidRDefault="00DE452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物构所</w:t>
            </w:r>
          </w:p>
        </w:tc>
        <w:tc>
          <w:tcPr>
            <w:tcW w:w="2835" w:type="dxa"/>
            <w:vAlign w:val="center"/>
          </w:tcPr>
          <w:p w:rsidR="000D4847" w:rsidRPr="000D4847" w:rsidRDefault="000D4847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422B3" w:rsidTr="00B76E58">
        <w:trPr>
          <w:trHeight w:val="624"/>
          <w:jc w:val="center"/>
        </w:trPr>
        <w:tc>
          <w:tcPr>
            <w:tcW w:w="1133" w:type="dxa"/>
            <w:vMerge w:val="restart"/>
            <w:vAlign w:val="center"/>
          </w:tcPr>
          <w:p w:rsidR="00B422B3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专业</w:t>
            </w:r>
          </w:p>
          <w:p w:rsidR="00B422B3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学位课</w:t>
            </w:r>
          </w:p>
          <w:p w:rsidR="00B422B3" w:rsidRPr="000D4847" w:rsidRDefault="00512118" w:rsidP="0051211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B422B3">
              <w:rPr>
                <w:rFonts w:ascii="仿宋_GB2312" w:eastAsia="仿宋_GB2312" w:hint="eastAsia"/>
                <w:szCs w:val="21"/>
              </w:rPr>
              <w:t>选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电力传动预测控制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汪凤翔</w:t>
            </w:r>
          </w:p>
        </w:tc>
        <w:tc>
          <w:tcPr>
            <w:tcW w:w="1134" w:type="dxa"/>
            <w:vAlign w:val="center"/>
          </w:tcPr>
          <w:p w:rsidR="00B422B3" w:rsidRPr="000D4847" w:rsidRDefault="00E952BD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A937FA" w:rsidRPr="00A937FA" w:rsidRDefault="00A937FA" w:rsidP="00A93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A937FA">
              <w:rPr>
                <w:rFonts w:ascii="仿宋_GB2312" w:eastAsia="仿宋_GB2312" w:hAnsi="Calibri" w:cs="Times New Roman" w:hint="eastAsia"/>
                <w:szCs w:val="21"/>
              </w:rPr>
              <w:t>席裕庚.预测控制，</w:t>
            </w:r>
            <w:r w:rsidRPr="00A937FA">
              <w:rPr>
                <w:rFonts w:ascii="仿宋_GB2312" w:eastAsia="仿宋_GB2312" w:hAnsi="Calibri" w:cs="Times New Roman"/>
                <w:szCs w:val="21"/>
              </w:rPr>
              <w:t>国防工业出版社</w:t>
            </w:r>
          </w:p>
          <w:p w:rsidR="00B422B3" w:rsidRPr="000D4847" w:rsidRDefault="00A937FA" w:rsidP="00A93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A937FA">
              <w:rPr>
                <w:rFonts w:ascii="仿宋_GB2312" w:eastAsia="仿宋_GB2312" w:hAnsi="Calibri" w:cs="Times New Roman" w:hint="eastAsia"/>
                <w:szCs w:val="21"/>
              </w:rPr>
              <w:t>张永昌</w:t>
            </w:r>
            <w:r w:rsidRPr="00A937FA">
              <w:rPr>
                <w:rFonts w:ascii="仿宋_GB2312" w:eastAsia="仿宋_GB2312" w:hAnsi="Calibri" w:cs="Times New Roman"/>
                <w:szCs w:val="21"/>
              </w:rPr>
              <w:t>等</w:t>
            </w:r>
            <w:r w:rsidRPr="00A937FA">
              <w:rPr>
                <w:rFonts w:ascii="仿宋_GB2312" w:eastAsia="仿宋_GB2312" w:hAnsi="Calibri" w:cs="Times New Roman" w:hint="eastAsia"/>
                <w:szCs w:val="21"/>
              </w:rPr>
              <w:t>.大功率变换器与工业传动模型预测控制，机械工业出版社</w:t>
            </w:r>
          </w:p>
        </w:tc>
      </w:tr>
      <w:tr w:rsidR="00B422B3" w:rsidTr="00B76E58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伺服传动与机械设计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解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伟</w:t>
            </w:r>
          </w:p>
        </w:tc>
        <w:tc>
          <w:tcPr>
            <w:tcW w:w="1134" w:type="dxa"/>
            <w:vAlign w:val="center"/>
          </w:tcPr>
          <w:p w:rsidR="00B422B3" w:rsidRPr="000D4847" w:rsidRDefault="00E952BD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B422B3" w:rsidRPr="000D4847" w:rsidRDefault="00B422B3" w:rsidP="00A93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钱平</w:t>
            </w:r>
            <w:r w:rsidR="00A937FA"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伺服系统（第3版）</w:t>
            </w:r>
            <w:r w:rsidR="00A937FA">
              <w:rPr>
                <w:rFonts w:ascii="仿宋_GB2312" w:eastAsia="仿宋_GB2312" w:hint="eastAsia"/>
                <w:szCs w:val="21"/>
              </w:rPr>
              <w:t>，</w:t>
            </w:r>
            <w:r>
              <w:rPr>
                <w:rFonts w:ascii="仿宋_GB2312" w:eastAsia="仿宋_GB2312" w:hint="eastAsia"/>
                <w:szCs w:val="21"/>
              </w:rPr>
              <w:t>机械工业出版社</w:t>
            </w:r>
          </w:p>
        </w:tc>
      </w:tr>
      <w:tr w:rsidR="00B422B3" w:rsidTr="00B76E58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03BF8">
              <w:rPr>
                <w:rFonts w:ascii="仿宋_GB2312" w:eastAsia="仿宋_GB2312" w:hint="eastAsia"/>
                <w:szCs w:val="21"/>
              </w:rPr>
              <w:t>多传感器数据融合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戴厚德</w:t>
            </w:r>
          </w:p>
        </w:tc>
        <w:tc>
          <w:tcPr>
            <w:tcW w:w="1134" w:type="dxa"/>
            <w:vAlign w:val="center"/>
          </w:tcPr>
          <w:p w:rsidR="00B422B3" w:rsidRPr="000D4847" w:rsidRDefault="00E952BD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B422B3" w:rsidRPr="000D4847" w:rsidRDefault="00A937FA" w:rsidP="00A93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A937FA">
              <w:rPr>
                <w:rFonts w:ascii="仿宋_GB2312" w:eastAsia="仿宋_GB2312" w:hAnsi="Calibri" w:cs="Times New Roman" w:hint="eastAsia"/>
                <w:szCs w:val="21"/>
              </w:rPr>
              <w:t>罗俊海，王章静.多源数据融合和传感器管理，清华大学出版社</w:t>
            </w:r>
          </w:p>
        </w:tc>
      </w:tr>
      <w:tr w:rsidR="00B422B3" w:rsidTr="00B76E58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422B3" w:rsidRPr="000D4847" w:rsidRDefault="00B422B3" w:rsidP="000D48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人工智能前</w:t>
            </w:r>
            <w:r>
              <w:rPr>
                <w:rFonts w:ascii="仿宋_GB2312" w:eastAsia="仿宋_GB2312" w:hint="eastAsia"/>
                <w:szCs w:val="21"/>
              </w:rPr>
              <w:t>沿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李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俊</w:t>
            </w:r>
          </w:p>
        </w:tc>
        <w:tc>
          <w:tcPr>
            <w:tcW w:w="1134" w:type="dxa"/>
            <w:vAlign w:val="center"/>
          </w:tcPr>
          <w:p w:rsidR="00B422B3" w:rsidRPr="00A937FA" w:rsidRDefault="00E952BD" w:rsidP="00A937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B422B3" w:rsidRPr="00A937FA" w:rsidRDefault="00A937FA" w:rsidP="00A93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A937FA">
              <w:rPr>
                <w:rFonts w:ascii="仿宋_GB2312" w:eastAsia="仿宋_GB2312" w:hAnsi="Calibri" w:cs="Times New Roman" w:hint="eastAsia"/>
                <w:szCs w:val="21"/>
              </w:rPr>
              <w:t>李德毅.人工智能导论，中国科学技术出版社</w:t>
            </w:r>
          </w:p>
        </w:tc>
      </w:tr>
      <w:tr w:rsidR="00B422B3" w:rsidTr="00B76E58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最优算法理论与应用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>豪</w:t>
            </w:r>
          </w:p>
        </w:tc>
        <w:tc>
          <w:tcPr>
            <w:tcW w:w="1134" w:type="dxa"/>
            <w:vAlign w:val="center"/>
          </w:tcPr>
          <w:p w:rsidR="00B422B3" w:rsidRPr="000D4847" w:rsidRDefault="00E952BD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B422B3" w:rsidRPr="000D4847" w:rsidRDefault="00A937FA" w:rsidP="00A93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A937FA">
              <w:rPr>
                <w:rFonts w:ascii="仿宋_GB2312" w:eastAsia="仿宋_GB2312" w:hAnsi="Calibri" w:cs="Times New Roman" w:hint="eastAsia"/>
                <w:szCs w:val="21"/>
              </w:rPr>
              <w:t>陈宝林.最优化理论与算法（第2版），清华大学出版社</w:t>
            </w:r>
          </w:p>
        </w:tc>
      </w:tr>
      <w:tr w:rsidR="00B422B3" w:rsidTr="00DE4523">
        <w:trPr>
          <w:trHeight w:val="624"/>
          <w:jc w:val="center"/>
        </w:trPr>
        <w:tc>
          <w:tcPr>
            <w:tcW w:w="1133" w:type="dxa"/>
            <w:vMerge w:val="restart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必修环节</w:t>
            </w: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开题报告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22B3" w:rsidRPr="000D4847" w:rsidRDefault="00E952BD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422B3" w:rsidTr="00DE4523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中期考核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22B3" w:rsidRPr="000D4847" w:rsidRDefault="00E952BD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422B3" w:rsidTr="00DE4523">
        <w:trPr>
          <w:trHeight w:val="624"/>
          <w:jc w:val="center"/>
        </w:trPr>
        <w:tc>
          <w:tcPr>
            <w:tcW w:w="1133" w:type="dxa"/>
            <w:vMerge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学术报告及社会实践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422B3" w:rsidRPr="000D4847" w:rsidRDefault="00E952BD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装备中心</w:t>
            </w:r>
          </w:p>
        </w:tc>
        <w:tc>
          <w:tcPr>
            <w:tcW w:w="2835" w:type="dxa"/>
            <w:vAlign w:val="center"/>
          </w:tcPr>
          <w:p w:rsidR="00B422B3" w:rsidRPr="000D4847" w:rsidRDefault="00B422B3" w:rsidP="009403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12118" w:rsidRDefault="00512118" w:rsidP="00E952BD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E5313" w:rsidRPr="00E952BD" w:rsidRDefault="00D2178A" w:rsidP="00E952BD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952BD">
        <w:rPr>
          <w:rFonts w:ascii="仿宋_GB2312" w:eastAsia="仿宋_GB2312" w:hint="eastAsia"/>
          <w:b/>
          <w:sz w:val="30"/>
          <w:szCs w:val="30"/>
        </w:rPr>
        <w:t>一、</w:t>
      </w:r>
      <w:r w:rsidR="008D3E4F" w:rsidRPr="00E952BD">
        <w:rPr>
          <w:rFonts w:ascii="仿宋_GB2312" w:eastAsia="仿宋_GB2312"/>
          <w:b/>
          <w:sz w:val="30"/>
          <w:szCs w:val="30"/>
        </w:rPr>
        <w:t>公共学位课</w:t>
      </w:r>
    </w:p>
    <w:p w:rsidR="00D73599" w:rsidRPr="00E952BD" w:rsidRDefault="00D73599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由于目前</w:t>
      </w:r>
      <w:r w:rsidR="00E952BD">
        <w:rPr>
          <w:rFonts w:ascii="仿宋_GB2312" w:eastAsia="仿宋_GB2312" w:hint="eastAsia"/>
          <w:sz w:val="30"/>
          <w:szCs w:val="30"/>
        </w:rPr>
        <w:t>装备中心</w:t>
      </w:r>
      <w:r w:rsidRPr="00E952BD">
        <w:rPr>
          <w:rFonts w:ascii="仿宋_GB2312" w:eastAsia="仿宋_GB2312" w:hint="eastAsia"/>
          <w:sz w:val="30"/>
          <w:szCs w:val="30"/>
        </w:rPr>
        <w:t>国科大博士生体量小，将采用二或三届</w:t>
      </w:r>
      <w:r w:rsidR="00DE4523" w:rsidRPr="00E952BD">
        <w:rPr>
          <w:rFonts w:ascii="仿宋_GB2312" w:eastAsia="仿宋_GB2312" w:hint="eastAsia"/>
          <w:sz w:val="30"/>
          <w:szCs w:val="30"/>
        </w:rPr>
        <w:t>集中授课</w:t>
      </w:r>
      <w:r w:rsidRPr="00E952BD">
        <w:rPr>
          <w:rFonts w:ascii="仿宋_GB2312" w:eastAsia="仿宋_GB2312" w:hint="eastAsia"/>
          <w:sz w:val="30"/>
          <w:szCs w:val="30"/>
        </w:rPr>
        <w:t>的方式进行课程设置。</w:t>
      </w:r>
    </w:p>
    <w:p w:rsidR="008D3E4F" w:rsidRPr="00E952BD" w:rsidRDefault="00D2178A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（一）</w:t>
      </w:r>
      <w:r w:rsidR="00D73599" w:rsidRPr="00E952BD">
        <w:rPr>
          <w:rFonts w:ascii="仿宋_GB2312" w:eastAsia="仿宋_GB2312" w:hint="eastAsia"/>
          <w:sz w:val="30"/>
          <w:szCs w:val="30"/>
        </w:rPr>
        <w:t>博士学位英语B</w:t>
      </w:r>
    </w:p>
    <w:p w:rsidR="00512118" w:rsidRPr="00E952BD" w:rsidRDefault="00512118" w:rsidP="0051211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根据物构所安排两届或三届集中在物构所授课，时长为1-2天（以实际通知为准）；</w:t>
      </w:r>
    </w:p>
    <w:p w:rsidR="00D73599" w:rsidRPr="00E952BD" w:rsidRDefault="00D73599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（二）</w:t>
      </w:r>
      <w:r w:rsidR="008D3E4F" w:rsidRPr="00E952BD">
        <w:rPr>
          <w:rFonts w:ascii="仿宋_GB2312" w:eastAsia="仿宋_GB2312" w:hint="eastAsia"/>
          <w:sz w:val="30"/>
          <w:szCs w:val="30"/>
        </w:rPr>
        <w:t>中国马克思主义与当代</w:t>
      </w:r>
    </w:p>
    <w:p w:rsidR="008D3E4F" w:rsidRPr="00E952BD" w:rsidRDefault="00D73599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根据</w:t>
      </w:r>
      <w:r w:rsidR="008D3E4F" w:rsidRPr="00E952BD">
        <w:rPr>
          <w:rFonts w:ascii="仿宋_GB2312" w:eastAsia="仿宋_GB2312" w:hint="eastAsia"/>
          <w:sz w:val="30"/>
          <w:szCs w:val="30"/>
        </w:rPr>
        <w:t>物构所</w:t>
      </w:r>
      <w:r w:rsidRPr="00E952BD">
        <w:rPr>
          <w:rFonts w:ascii="仿宋_GB2312" w:eastAsia="仿宋_GB2312" w:hint="eastAsia"/>
          <w:sz w:val="30"/>
          <w:szCs w:val="30"/>
        </w:rPr>
        <w:t>安排两届或三届</w:t>
      </w:r>
      <w:r w:rsidR="008D3E4F" w:rsidRPr="00E952BD">
        <w:rPr>
          <w:rFonts w:ascii="仿宋_GB2312" w:eastAsia="仿宋_GB2312" w:hint="eastAsia"/>
          <w:sz w:val="30"/>
          <w:szCs w:val="30"/>
        </w:rPr>
        <w:t>集中</w:t>
      </w:r>
      <w:r w:rsidRPr="00E952BD">
        <w:rPr>
          <w:rFonts w:ascii="仿宋_GB2312" w:eastAsia="仿宋_GB2312" w:hint="eastAsia"/>
          <w:sz w:val="30"/>
          <w:szCs w:val="30"/>
        </w:rPr>
        <w:t>在物构所授课，</w:t>
      </w:r>
      <w:r w:rsidR="008D3E4F" w:rsidRPr="00E952BD">
        <w:rPr>
          <w:rFonts w:ascii="仿宋_GB2312" w:eastAsia="仿宋_GB2312" w:hint="eastAsia"/>
          <w:sz w:val="30"/>
          <w:szCs w:val="30"/>
        </w:rPr>
        <w:t>时长</w:t>
      </w:r>
      <w:r w:rsidRPr="00E952BD">
        <w:rPr>
          <w:rFonts w:ascii="仿宋_GB2312" w:eastAsia="仿宋_GB2312" w:hint="eastAsia"/>
          <w:sz w:val="30"/>
          <w:szCs w:val="30"/>
        </w:rPr>
        <w:t>为</w:t>
      </w:r>
      <w:r w:rsidR="008D3E4F" w:rsidRPr="00E952BD">
        <w:rPr>
          <w:rFonts w:ascii="仿宋_GB2312" w:eastAsia="仿宋_GB2312" w:hint="eastAsia"/>
          <w:sz w:val="30"/>
          <w:szCs w:val="30"/>
        </w:rPr>
        <w:t>1-2天</w:t>
      </w:r>
      <w:r w:rsidRPr="00E952BD">
        <w:rPr>
          <w:rFonts w:ascii="仿宋_GB2312" w:eastAsia="仿宋_GB2312" w:hint="eastAsia"/>
          <w:sz w:val="30"/>
          <w:szCs w:val="30"/>
        </w:rPr>
        <w:t>（以实际通知为准）</w:t>
      </w:r>
      <w:r w:rsidR="008D3E4F" w:rsidRPr="00E952BD">
        <w:rPr>
          <w:rFonts w:ascii="仿宋_GB2312" w:eastAsia="仿宋_GB2312" w:hint="eastAsia"/>
          <w:sz w:val="30"/>
          <w:szCs w:val="30"/>
        </w:rPr>
        <w:t>；</w:t>
      </w:r>
    </w:p>
    <w:p w:rsidR="008D3E4F" w:rsidRPr="00E952BD" w:rsidRDefault="00D73599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（三）</w:t>
      </w:r>
      <w:r w:rsidR="008D3E4F" w:rsidRPr="00E952BD">
        <w:rPr>
          <w:rFonts w:ascii="仿宋_GB2312" w:eastAsia="仿宋_GB2312" w:hint="eastAsia"/>
          <w:sz w:val="30"/>
          <w:szCs w:val="30"/>
        </w:rPr>
        <w:t>学术道德与学术写作规范</w:t>
      </w:r>
    </w:p>
    <w:p w:rsidR="00D73599" w:rsidRPr="00E952BD" w:rsidRDefault="00D73599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同上。</w:t>
      </w:r>
    </w:p>
    <w:p w:rsidR="00D73599" w:rsidRPr="00E952BD" w:rsidRDefault="00D73599" w:rsidP="00E952BD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952BD">
        <w:rPr>
          <w:rFonts w:ascii="仿宋_GB2312" w:eastAsia="仿宋_GB2312" w:hint="eastAsia"/>
          <w:b/>
          <w:sz w:val="30"/>
          <w:szCs w:val="30"/>
        </w:rPr>
        <w:t>二、专业学位课</w:t>
      </w:r>
    </w:p>
    <w:p w:rsidR="00D73599" w:rsidRPr="00E952BD" w:rsidRDefault="00D73599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由</w:t>
      </w:r>
      <w:r w:rsidR="00E952BD">
        <w:rPr>
          <w:rFonts w:ascii="仿宋_GB2312" w:eastAsia="仿宋_GB2312" w:hint="eastAsia"/>
          <w:sz w:val="30"/>
          <w:szCs w:val="30"/>
        </w:rPr>
        <w:t>装备中心</w:t>
      </w:r>
      <w:r w:rsidRPr="00E952BD">
        <w:rPr>
          <w:rFonts w:ascii="仿宋_GB2312" w:eastAsia="仿宋_GB2312" w:hint="eastAsia"/>
          <w:sz w:val="30"/>
          <w:szCs w:val="30"/>
        </w:rPr>
        <w:t>自行授课，为保证课程多样性，</w:t>
      </w:r>
      <w:r w:rsidR="00512118">
        <w:rPr>
          <w:rFonts w:ascii="仿宋_GB2312" w:eastAsia="仿宋_GB2312" w:hint="eastAsia"/>
          <w:sz w:val="30"/>
          <w:szCs w:val="30"/>
        </w:rPr>
        <w:t>5</w:t>
      </w:r>
      <w:r w:rsidR="008C21E1" w:rsidRPr="00E952BD">
        <w:rPr>
          <w:rFonts w:ascii="仿宋_GB2312" w:eastAsia="仿宋_GB2312" w:hint="eastAsia"/>
          <w:sz w:val="30"/>
          <w:szCs w:val="30"/>
        </w:rPr>
        <w:t>门专业课共分三年学分别授课</w:t>
      </w:r>
      <w:r w:rsidRPr="00E952BD">
        <w:rPr>
          <w:rFonts w:ascii="仿宋_GB2312" w:eastAsia="仿宋_GB2312" w:hint="eastAsia"/>
          <w:sz w:val="30"/>
          <w:szCs w:val="30"/>
        </w:rPr>
        <w:t>（</w:t>
      </w:r>
      <w:r w:rsidR="008C21E1" w:rsidRPr="00E952BD">
        <w:rPr>
          <w:rFonts w:ascii="仿宋_GB2312" w:eastAsia="仿宋_GB2312" w:hint="eastAsia"/>
          <w:sz w:val="30"/>
          <w:szCs w:val="30"/>
        </w:rPr>
        <w:t>可视实际</w:t>
      </w:r>
      <w:r w:rsidRPr="00E952BD">
        <w:rPr>
          <w:rFonts w:ascii="仿宋_GB2312" w:eastAsia="仿宋_GB2312" w:hint="eastAsia"/>
          <w:sz w:val="30"/>
          <w:szCs w:val="30"/>
        </w:rPr>
        <w:t>情况增加适当课程）</w:t>
      </w:r>
      <w:r w:rsidR="008C21E1" w:rsidRPr="00E952BD">
        <w:rPr>
          <w:rFonts w:ascii="仿宋_GB2312" w:eastAsia="仿宋_GB2312" w:hint="eastAsia"/>
          <w:sz w:val="30"/>
          <w:szCs w:val="30"/>
        </w:rPr>
        <w:t>，博士生可根据自身专业方向及兴趣进行选修（但仍需满足不低于2门且不低于</w:t>
      </w:r>
      <w:r w:rsidR="00512118">
        <w:rPr>
          <w:rFonts w:ascii="仿宋_GB2312" w:eastAsia="仿宋_GB2312" w:hint="eastAsia"/>
          <w:sz w:val="30"/>
          <w:szCs w:val="30"/>
        </w:rPr>
        <w:t>4</w:t>
      </w:r>
      <w:r w:rsidR="008C21E1" w:rsidRPr="00E952BD">
        <w:rPr>
          <w:rFonts w:ascii="仿宋_GB2312" w:eastAsia="仿宋_GB2312" w:hint="eastAsia"/>
          <w:sz w:val="30"/>
          <w:szCs w:val="30"/>
        </w:rPr>
        <w:t>学分的要求）直至达到学分要求。</w:t>
      </w:r>
    </w:p>
    <w:p w:rsidR="008C21E1" w:rsidRPr="00E952BD" w:rsidRDefault="008C21E1" w:rsidP="00E952BD">
      <w:pPr>
        <w:autoSpaceDE w:val="0"/>
        <w:autoSpaceDN w:val="0"/>
        <w:adjustRightInd w:val="0"/>
        <w:ind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952BD">
        <w:rPr>
          <w:rFonts w:ascii="仿宋_GB2312" w:eastAsia="仿宋_GB2312" w:hint="eastAsia"/>
          <w:b/>
          <w:sz w:val="30"/>
          <w:szCs w:val="30"/>
        </w:rPr>
        <w:lastRenderedPageBreak/>
        <w:t>三、必修环节</w:t>
      </w:r>
    </w:p>
    <w:p w:rsidR="008C21E1" w:rsidRPr="00E952BD" w:rsidRDefault="008C21E1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开题报告及中期答辩在遵守国科大及海西院相关规定的前提下，按</w:t>
      </w:r>
      <w:r w:rsidR="00E952BD">
        <w:rPr>
          <w:rFonts w:ascii="仿宋_GB2312" w:eastAsia="仿宋_GB2312" w:hint="eastAsia"/>
          <w:sz w:val="30"/>
          <w:szCs w:val="30"/>
        </w:rPr>
        <w:t>装备中心</w:t>
      </w:r>
      <w:r w:rsidRPr="00E952BD">
        <w:rPr>
          <w:rFonts w:ascii="仿宋_GB2312" w:eastAsia="仿宋_GB2312" w:hint="eastAsia"/>
          <w:sz w:val="30"/>
          <w:szCs w:val="30"/>
        </w:rPr>
        <w:t>研究生管理补充细则规定。</w:t>
      </w:r>
    </w:p>
    <w:p w:rsidR="008C21E1" w:rsidRPr="00E952BD" w:rsidRDefault="008C21E1" w:rsidP="00E952B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952BD">
        <w:rPr>
          <w:rFonts w:ascii="仿宋_GB2312" w:eastAsia="仿宋_GB2312" w:hint="eastAsia"/>
          <w:sz w:val="30"/>
          <w:szCs w:val="30"/>
        </w:rPr>
        <w:t>学术报告及社会实践具体以物构所要求为准。</w:t>
      </w:r>
    </w:p>
    <w:sectPr w:rsidR="008C21E1" w:rsidRPr="00E952BD" w:rsidSect="00F42297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61" w:rsidRDefault="00C92F61" w:rsidP="0094030A">
      <w:r>
        <w:separator/>
      </w:r>
    </w:p>
  </w:endnote>
  <w:endnote w:type="continuationSeparator" w:id="0">
    <w:p w:rsidR="00C92F61" w:rsidRDefault="00C92F61" w:rsidP="00940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61" w:rsidRDefault="00C92F61" w:rsidP="0094030A">
      <w:r>
        <w:separator/>
      </w:r>
    </w:p>
  </w:footnote>
  <w:footnote w:type="continuationSeparator" w:id="0">
    <w:p w:rsidR="00C92F61" w:rsidRDefault="00C92F61" w:rsidP="00940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30A"/>
    <w:rsid w:val="000D4847"/>
    <w:rsid w:val="00135A17"/>
    <w:rsid w:val="00162D00"/>
    <w:rsid w:val="002639B9"/>
    <w:rsid w:val="002F5907"/>
    <w:rsid w:val="002F72A2"/>
    <w:rsid w:val="00363EF9"/>
    <w:rsid w:val="003D4223"/>
    <w:rsid w:val="003F5586"/>
    <w:rsid w:val="00512118"/>
    <w:rsid w:val="0055307B"/>
    <w:rsid w:val="00572384"/>
    <w:rsid w:val="007054EF"/>
    <w:rsid w:val="007D631B"/>
    <w:rsid w:val="008308DF"/>
    <w:rsid w:val="00872CDA"/>
    <w:rsid w:val="008C21E1"/>
    <w:rsid w:val="008D3E4F"/>
    <w:rsid w:val="008E327C"/>
    <w:rsid w:val="0094030A"/>
    <w:rsid w:val="009A4A05"/>
    <w:rsid w:val="009E07C0"/>
    <w:rsid w:val="009E5313"/>
    <w:rsid w:val="00A937FA"/>
    <w:rsid w:val="00AA2A30"/>
    <w:rsid w:val="00B422B3"/>
    <w:rsid w:val="00B60230"/>
    <w:rsid w:val="00B62446"/>
    <w:rsid w:val="00B76E58"/>
    <w:rsid w:val="00BE5749"/>
    <w:rsid w:val="00BF1075"/>
    <w:rsid w:val="00C5477A"/>
    <w:rsid w:val="00C92F61"/>
    <w:rsid w:val="00D2178A"/>
    <w:rsid w:val="00D73599"/>
    <w:rsid w:val="00D77D92"/>
    <w:rsid w:val="00DE4523"/>
    <w:rsid w:val="00E12516"/>
    <w:rsid w:val="00E952BD"/>
    <w:rsid w:val="00EB6B39"/>
    <w:rsid w:val="00ED7FED"/>
    <w:rsid w:val="00F03BF8"/>
    <w:rsid w:val="00F42297"/>
    <w:rsid w:val="00F65D73"/>
    <w:rsid w:val="00F6604D"/>
    <w:rsid w:val="00F8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7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D631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3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30A"/>
    <w:rPr>
      <w:sz w:val="18"/>
      <w:szCs w:val="18"/>
    </w:rPr>
  </w:style>
  <w:style w:type="table" w:styleId="a5">
    <w:name w:val="Table Grid"/>
    <w:basedOn w:val="a1"/>
    <w:uiPriority w:val="59"/>
    <w:rsid w:val="0094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7D631B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dc:description/>
  <cp:lastModifiedBy>Ariel</cp:lastModifiedBy>
  <cp:revision>16</cp:revision>
  <cp:lastPrinted>2021-05-11T08:38:00Z</cp:lastPrinted>
  <dcterms:created xsi:type="dcterms:W3CDTF">2021-05-11T07:33:00Z</dcterms:created>
  <dcterms:modified xsi:type="dcterms:W3CDTF">2024-09-24T02:53:00Z</dcterms:modified>
</cp:coreProperties>
</file>